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webp" ContentType="image/png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ind w:left="142" w:hanging="142"/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Паспорт </w:t>
      </w:r>
      <w:r>
        <w:rPr>
          <w:rFonts w:ascii="Times New Roman" w:hAnsi="Times New Roman"/>
          <w:b/>
          <w:sz w:val="28"/>
        </w:rPr>
      </w:r>
    </w:p>
    <w:p>
      <w:pPr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инвестиционной площадки</w:t>
      </w:r>
      <w:r>
        <w:rPr>
          <w:rFonts w:ascii="Times New Roman" w:hAnsi="Times New Roman"/>
          <w:b/>
          <w:sz w:val="28"/>
        </w:rPr>
      </w:r>
    </w:p>
    <w:p>
      <w:pPr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Анжеро-Судженск, площадка ликвидированного</w:t>
      </w:r>
      <w:r/>
      <w:bookmarkStart w:id="0" w:name="_GoBack"/>
      <w:r/>
      <w:bookmarkEnd w:id="0"/>
      <w:r/>
      <w:r>
        <w:rPr>
          <w:rFonts w:ascii="Times New Roman" w:hAnsi="Times New Roman"/>
          <w:b/>
          <w:sz w:val="28"/>
        </w:rPr>
        <w:t xml:space="preserve"> кирпичного завода</w:t>
      </w:r>
      <w:r>
        <w:rPr>
          <w:rFonts w:ascii="Times New Roman" w:hAnsi="Times New Roman"/>
          <w:b/>
          <w:sz w:val="28"/>
        </w:rPr>
      </w:r>
    </w:p>
    <w:p>
      <w:pPr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spacing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Рекомендуемый формат наименования инвестиционной площадки: МО, наименования площадки</w:t>
      </w:r>
      <w:r>
        <w:rPr>
          <w:rFonts w:ascii="Times New Roman" w:hAnsi="Times New Roman"/>
          <w:i/>
        </w:rPr>
      </w:r>
    </w:p>
    <w:tbl>
      <w:tblPr>
        <w:tblStyle w:val="NormalTable"/>
        <w:name w:val="Таблица1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3794"/>
        <w:gridCol w:w="6266"/>
      </w:tblGrid>
      <w:tr>
        <w:trPr>
          <w:tblHeader w:val="0"/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Название площадки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</w:rPr>
              <w:t>Инвестиционная площадка П1- производственная зона</w:t>
            </w:r>
            <w:r>
              <w:rPr>
                <w:rFonts w:ascii="Times New Roman" w:hAnsi="Times New Roman"/>
                <w:sz w:val="16"/>
              </w:rPr>
              <w:t xml:space="preserve">                                                                                  </w:t>
            </w:r>
            <w:r>
              <w:rPr>
                <w:rFonts w:ascii="Times New Roman" w:hAnsi="Times New Roman"/>
                <w:sz w:val="16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  (указывается возможное использование 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площадки/ функциональное назначение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Строительная промышленность: размещение объектов капитального строительства, предназначенных для производства строительных материалов (кирпичей, пиломатериалов, цемента, крепежных материалов)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 Положение и окружение инвестиционной площадки </w:t>
      </w:r>
      <w:r>
        <w:rPr>
          <w:rFonts w:ascii="Times New Roman" w:hAnsi="Times New Roman"/>
          <w:b/>
        </w:rPr>
      </w:r>
    </w:p>
    <w:tbl>
      <w:tblPr>
        <w:tblStyle w:val="NormalTable"/>
        <w:name w:val="Таблица2"/>
        <w:tabOrder w:val="0"/>
        <w:jc w:val="left"/>
        <w:tblInd w:w="0" w:type="dxa"/>
        <w:tblW w:w="10034" w:type="dxa"/>
        <w:tblLook w:val="0600" w:firstRow="0" w:lastRow="0" w:firstColumn="0" w:lastColumn="0" w:noHBand="1" w:noVBand="1"/>
      </w:tblPr>
      <w:tblGrid>
        <w:gridCol w:w="3673"/>
        <w:gridCol w:w="6361"/>
      </w:tblGrid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 расположения (адрес)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Кемеровская область, г. Анжеро-Судженск,31 микрорайон Восточного жилого района, ул. Айвазовского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0034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Удаленность от объектов (в км):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г. Кемерово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 км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8.6  км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автомагистрали (название дороги)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Расстояние по прямой 0,25 км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Расстояние по дорогам общего пользования 0,3 км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автомобильных подъездных путей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на границе площадки</w:t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 покрытия автодороги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асфальтовое покрытие</w:t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грунтовое покрытие </w:t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Иное___________________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на границе площадки нет</w:t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на расстоянии 5 км от границы площадки по дорогам общего пользования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Удаленность от аэропорта (название)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109,2км Название аэропорта Международный аэропорт Кемерово им. А.А. Леонова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Удаленность от полигонов размещения отходов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 км. № полигона в ГРОРО 42-00322-З-00552-070715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Рельеф поверхности (ровная, наклонная, террасная, уступами)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Ровная 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 Правовой статус инвестиционной площадки</w:t>
      </w:r>
      <w:r>
        <w:rPr>
          <w:rFonts w:ascii="Times New Roman" w:hAnsi="Times New Roman"/>
          <w:b/>
        </w:rPr>
      </w:r>
    </w:p>
    <w:tbl>
      <w:tblPr>
        <w:tblStyle w:val="NormalTable"/>
        <w:name w:val="Таблица3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3823"/>
        <w:gridCol w:w="6237"/>
      </w:tblGrid>
      <w:tr>
        <w:trPr>
          <w:tblHeader w:val="0"/>
          <w:cantSplit w:val="0"/>
          <w:trHeight w:val="380" w:hRule="atLeast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муниципальная собственность </w:t>
            </w:r>
          </w:p>
        </w:tc>
      </w:tr>
      <w:tr>
        <w:trPr>
          <w:tblHeader w:val="0"/>
          <w:cantSplit w:val="0"/>
          <w:trHeight w:val="225" w:hRule="atLeast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Категория земель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земли населенных пунктов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Межевание земельного участка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не проведено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Кадастровый номер 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42:20:0103020:2242 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3. Характеристика территории инвестиционной площадки </w:t>
      </w:r>
      <w:r>
        <w:rPr>
          <w:rFonts w:ascii="Times New Roman" w:hAnsi="Times New Roman"/>
          <w:b/>
        </w:rPr>
      </w:r>
    </w:p>
    <w:tbl>
      <w:tblPr>
        <w:tblStyle w:val="NormalTable"/>
        <w:name w:val="Таблица4"/>
        <w:tabOrder w:val="0"/>
        <w:jc w:val="left"/>
        <w:tblInd w:w="0" w:type="dxa"/>
        <w:tblW w:w="10030" w:type="dxa"/>
        <w:tblLook w:val="0600" w:firstRow="0" w:lastRow="0" w:firstColumn="0" w:lastColumn="0" w:noHBand="1" w:noVBand="1"/>
      </w:tblPr>
      <w:tblGrid>
        <w:gridCol w:w="4382"/>
        <w:gridCol w:w="5648"/>
      </w:tblGrid>
      <w:tr>
        <w:trPr>
          <w:tblHeader w:val="0"/>
          <w:cantSplit w:val="0"/>
          <w:trHeight w:val="279" w:hRule="atLeast"/>
        </w:trPr>
        <w:tc>
          <w:tcPr>
            <w:tcW w:w="438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Площадь, в га</w:t>
            </w:r>
          </w:p>
        </w:tc>
        <w:tc>
          <w:tcPr>
            <w:tcW w:w="56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ind w:left="0" w:firstLine="708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2.331 </w:t>
            </w:r>
          </w:p>
        </w:tc>
      </w:tr>
      <w:tr>
        <w:trPr>
          <w:tblHeader w:val="0"/>
          <w:cantSplit w:val="0"/>
          <w:trHeight w:val="591" w:hRule="atLeast"/>
        </w:trPr>
        <w:tc>
          <w:tcPr>
            <w:tcW w:w="438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Возможность расширения</w:t>
            </w:r>
          </w:p>
        </w:tc>
        <w:tc>
          <w:tcPr>
            <w:tcW w:w="56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есть (до 2,5 га)</w:t>
            </w:r>
          </w:p>
        </w:tc>
      </w:tr>
      <w:tr>
        <w:trPr>
          <w:tblHeader w:val="0"/>
          <w:cantSplit w:val="0"/>
          <w:trHeight w:val="660" w:hRule="atLeast"/>
        </w:trPr>
        <w:tc>
          <w:tcPr>
            <w:tcW w:w="438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Стоимость ориентировочная, тыс.руб.</w:t>
            </w:r>
            <w:r>
              <w:rPr>
                <w:rFonts w:ascii="Times New Roman" w:hAnsi="Times New Roman"/>
              </w:rPr>
            </w:r>
          </w:p>
        </w:tc>
        <w:tc>
          <w:tcPr>
            <w:tcW w:w="56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Приобретения 46 004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Аренды в месяц 46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1243" w:hRule="atLeast"/>
        </w:trPr>
        <w:tc>
          <w:tcPr>
            <w:tcW w:w="438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Возможные меры поддержки</w:t>
            </w:r>
          </w:p>
        </w:tc>
        <w:tc>
          <w:tcPr>
            <w:tcW w:w="56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ТОСЭР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ОЭЗ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ФРМ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Другие МКК Госфонд Кемеровской области </w:t>
            </w:r>
          </w:p>
        </w:tc>
      </w:tr>
    </w:tbl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4. Характеристика инженерной инфраструктуры инвестиционной площадки*</w:t>
      </w:r>
    </w:p>
    <w:tbl>
      <w:tblPr>
        <w:tblStyle w:val="NormalTable"/>
        <w:name w:val="Таблица5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>
        <w:trPr>
          <w:tblHeader w:val="0"/>
          <w:cantSplit w:val="0"/>
          <w:trHeight w:val="270" w:hRule="atLeast"/>
        </w:trPr>
        <w:tc>
          <w:tcPr>
            <w:tcW w:w="1384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ind w:left="-108" w:firstLine="0"/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Вид инфраструктуры</w:t>
            </w:r>
          </w:p>
        </w:tc>
        <w:tc>
          <w:tcPr>
            <w:tcW w:w="851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Единица измерения</w:t>
            </w:r>
          </w:p>
        </w:tc>
        <w:tc>
          <w:tcPr>
            <w:tcW w:w="2409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Мощность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Расстояние от границы площадки до точки подключения/</w:t>
            </w:r>
          </w:p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присоединения, км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Стоимость подключения к ресурсу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Стоимость ресурса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/>
              <w:jc w:val="both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Поставщик ресурса</w:t>
            </w:r>
          </w:p>
        </w:tc>
      </w:tr>
      <w:tr>
        <w:trPr>
          <w:tblHeader w:val="0"/>
          <w:cantSplit w:val="0"/>
          <w:trHeight w:val="222" w:hRule="atLeast"/>
        </w:trPr>
        <w:tc>
          <w:tcPr>
            <w:tcW w:w="1384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/>
        </w:tc>
        <w:tc>
          <w:tcPr>
            <w:tcW w:w="851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/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Существующая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Доступная к подведению 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>
          <w:tblHeader w:val="0"/>
          <w:cantSplit w:val="0"/>
          <w:trHeight w:val="276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Газ 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 xml:space="preserve">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</w:tr>
      <w:tr>
        <w:trPr>
          <w:tblHeader w:val="0"/>
          <w:cantSplit w:val="0"/>
          <w:trHeight w:val="334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Теплоснабжение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Гкал/час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</w:tr>
      <w:tr>
        <w:trPr>
          <w:tblHeader w:val="0"/>
          <w:cantSplit w:val="0"/>
          <w:trHeight w:val="289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Электроэнергия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кВт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КТП-24,250кВа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ТП-кирзавод,250кВа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355 кВт(без учета строительства новых ТП)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Не далее 15 метров во внешнюю сторону от границы участка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11,26-11,64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руб./кВтч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ПАО "Кузбассэнергосбыт"</w:t>
            </w:r>
          </w:p>
        </w:tc>
      </w:tr>
      <w:tr>
        <w:trPr>
          <w:tblHeader w:val="0"/>
          <w:cantSplit w:val="0"/>
          <w:trHeight w:val="280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Водоснабжение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водопроводной линии – Ø100мм. Гарантированное давление линии водоснабжения – 1,4атм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водопроводной линии – Ø100мм. Гарантированное давление линии водоснабжения – 1,4атм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/>
            <w:r>
              <w:rPr>
                <w:rFonts w:ascii="Times New Roman" w:hAnsi="Times New Roman"/>
                <w:sz w:val="16"/>
              </w:rPr>
              <w:t xml:space="preserve">Стоимость определяется согласно договора на тех.присоединение </w:t>
            </w:r>
            <w:r/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60,37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руб./куб.м.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  <w:tr>
        <w:trPr>
          <w:tblHeader w:val="0"/>
          <w:cantSplit w:val="0"/>
          <w:trHeight w:val="264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Водоотведение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линии водоотведения – Ø100мм.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линии водоотведения – Ø100мм.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1,95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/>
            <w:r>
              <w:rPr>
                <w:rFonts w:ascii="Times New Roman" w:hAnsi="Times New Roman"/>
                <w:sz w:val="16"/>
              </w:rPr>
              <w:t xml:space="preserve">Стоимость определяется согласно договора на тех.присоединение </w:t>
            </w:r>
            <w:r/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49,98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</w:tbl>
    <w:p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5. Основные параметры расположенных на площадке зданий и сооружений</w:t>
      </w:r>
      <w:r>
        <w:rPr>
          <w:rFonts w:ascii="Times New Roman" w:hAnsi="Times New Roman"/>
          <w:b/>
          <w:vertAlign w:val="superscript"/>
        </w:rPr>
      </w:r>
      <w:r>
        <w:rPr>
          <w:rFonts w:ascii="Times New Roman" w:hAnsi="Times New Roman"/>
          <w:b/>
          <w:vertAlign w:val="superscript"/>
        </w:rPr>
        <w:footnoteReference w:id="2"/>
      </w:r>
      <w:r>
        <w:rPr>
          <w:rFonts w:ascii="Times New Roman" w:hAnsi="Times New Roman"/>
          <w:b/>
        </w:rPr>
        <w:t xml:space="preserve">: </w:t>
      </w:r>
      <w:r>
        <w:rPr>
          <w:rFonts w:ascii="Times New Roman" w:hAnsi="Times New Roman"/>
          <w:b/>
        </w:rPr>
      </w:r>
    </w:p>
    <w:tbl>
      <w:tblPr>
        <w:tblStyle w:val="NormalTable"/>
        <w:name w:val="Таблица6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>
        <w:trPr>
          <w:tblHeader w:val="0"/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Наименование здания/</w:t>
            </w:r>
          </w:p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сооружения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Площадь, м</w:t>
            </w:r>
            <w:r>
              <w:rPr>
                <w:rFonts w:ascii="Times New Roman" w:hAnsi="Times New Roman"/>
                <w:sz w:val="16"/>
                <w:vertAlign w:val="superscript"/>
              </w:rPr>
              <w:t>2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Этажность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Степень завершенности в %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Год постройки, оценка текущего состояния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Высота этажа, м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Строительный материал конструкции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Состояние, степень износа, %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Возможность расширения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Использование в настоящее время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</w:tr>
    </w:tbl>
    <w:p>
      <w:pPr>
        <w:ind w:left="714"/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ind w:left="714"/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ind w:left="714"/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tabs defTabSz="708">
          <w:tab w:val="left" w:pos="851" w:leader="none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6. Характеристика доступной ресурсно-сырьевой базы</w:t>
      </w:r>
      <w:r>
        <w:rPr>
          <w:rFonts w:ascii="Times New Roman" w:hAnsi="Times New Roman"/>
          <w:b/>
          <w:vertAlign w:val="superscript"/>
        </w:rPr>
      </w:r>
      <w:r>
        <w:rPr>
          <w:rFonts w:ascii="Times New Roman" w:hAnsi="Times New Roman"/>
          <w:b/>
          <w:vertAlign w:val="superscript"/>
        </w:rPr>
        <w:footnoteReference w:id="3"/>
      </w:r>
      <w:r>
        <w:rPr>
          <w:rFonts w:ascii="Times New Roman" w:hAnsi="Times New Roman"/>
          <w:b/>
        </w:rPr>
      </w:r>
    </w:p>
    <w:tbl>
      <w:tblPr>
        <w:tblStyle w:val="NormalTable"/>
        <w:name w:val="Таблица7"/>
        <w:tabOrder w:val="0"/>
        <w:jc w:val="left"/>
        <w:tblInd w:w="0" w:type="dxa"/>
        <w:tblW w:w="10063" w:type="dxa"/>
        <w:tblLook w:val="0600" w:firstRow="0" w:lastRow="0" w:firstColumn="0" w:lastColumn="0" w:noHBand="1" w:noVBand="1"/>
      </w:tblPr>
      <w:tblGrid>
        <w:gridCol w:w="1527"/>
        <w:gridCol w:w="2835"/>
        <w:gridCol w:w="1844"/>
        <w:gridCol w:w="3857"/>
      </w:tblGrid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Вид ресурсов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Величина разведанных/ подтвержденных запасов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Статус месторождения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Расстояние от границы площадки до месторождения, км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каменный уголь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геологические запасы более 1,5 млрд.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месторождения Яшкинского и Кемеровского районов, от р. Кайгур до г. Анжеро-Судженска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700" w:hRule="atLeast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алюминиевые руды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более 10 млрд.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Барзасское месторождение (Единисский, Суховский, Глухаринский, Гавриловский, Золото-Китатский</w:t>
            </w:r>
            <w:r>
              <w:rPr>
                <w:rFonts w:ascii="Times New Roman" w:hAnsi="Times New Roman"/>
                <w:sz w:val="22"/>
              </w:rPr>
              <w:t xml:space="preserve"> участки, на территории Кемеровского, </w:t>
            </w:r>
            <w:r>
              <w:rPr>
                <w:rFonts w:ascii="Times New Roman" w:hAnsi="Times New Roman"/>
                <w:sz w:val="22"/>
              </w:rPr>
              <w:t>Яйского</w:t>
            </w:r>
            <w:r>
              <w:rPr>
                <w:rFonts w:ascii="Times New Roman" w:hAnsi="Times New Roman"/>
                <w:sz w:val="22"/>
              </w:rPr>
              <w:t xml:space="preserve"> и </w:t>
            </w:r>
            <w:r>
              <w:rPr>
                <w:rFonts w:ascii="Times New Roman" w:hAnsi="Times New Roman"/>
                <w:sz w:val="22"/>
              </w:rPr>
              <w:t>Ижморского</w:t>
            </w:r>
            <w:r>
              <w:rPr>
                <w:rFonts w:ascii="Times New Roman" w:hAnsi="Times New Roman"/>
                <w:sz w:val="22"/>
              </w:rPr>
              <w:t xml:space="preserve"> районов, от р. Барзас до р. Золотой </w:t>
            </w:r>
            <w:r>
              <w:rPr>
                <w:rFonts w:ascii="Times New Roman" w:hAnsi="Times New Roman"/>
                <w:sz w:val="22"/>
              </w:rPr>
              <w:t>Китат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железная руда (магнетитовая)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более 500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междуречье р. Алчедат и р. Золотой Китат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кварциты Антоновской группы месторождений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промышленно оцененные запасы составляют 0,5 млрд. тонн;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Пгт. Рудничный 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бурый уголь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запасы около 2,0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(Китатское месторождение, территория Яйского района, по реке Китат между пос. Улановка и пос. Вознесенка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марганцевая руда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82,9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Ижморского и Верх-Чебулинского районов, от р. Кайгагат до р. Заломная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диабазы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vertAlign w:val="superscript"/>
              </w:rPr>
              <w:t>3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Кемеровского района, Васильевское месторождение (недалеко от пос. Барзас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глины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имеет запасы категории В - 66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расположено в 9 км от ст. Анжерская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минеральные краски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месторождения Баранцовское (160 т. тн); Тайгинское (2246 т.тн); </w:t>
            </w:r>
            <w:r>
              <w:rPr>
                <w:rFonts w:ascii="Times New Roman" w:hAnsi="Times New Roman"/>
                <w:sz w:val="22"/>
              </w:rPr>
              <w:t>Халдеевское</w:t>
            </w:r>
            <w:r>
              <w:rPr>
                <w:rFonts w:ascii="Times New Roman" w:hAnsi="Times New Roman"/>
                <w:sz w:val="22"/>
              </w:rPr>
              <w:t xml:space="preserve"> (25 </w:t>
            </w:r>
            <w:r>
              <w:rPr>
                <w:rFonts w:ascii="Times New Roman" w:hAnsi="Times New Roman"/>
                <w:sz w:val="22"/>
              </w:rPr>
              <w:t>т.тн</w:t>
            </w:r>
            <w:r>
              <w:rPr>
                <w:rFonts w:ascii="Times New Roman" w:hAnsi="Times New Roman"/>
                <w:sz w:val="22"/>
              </w:rPr>
              <w:t>.);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Яйского, Яшкинского районов</w:t>
            </w:r>
            <w:r>
              <w:rPr>
                <w:rFonts w:ascii="Times New Roman" w:hAnsi="Times New Roman"/>
              </w:rPr>
            </w:r>
          </w:p>
        </w:tc>
      </w:tr>
    </w:tbl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7. Трудовые ресурсы</w:t>
      </w:r>
    </w:p>
    <w:tbl>
      <w:tblPr>
        <w:tblStyle w:val="NormalTable"/>
        <w:name w:val="Таблица8"/>
        <w:tabOrder w:val="0"/>
        <w:jc w:val="left"/>
        <w:tblInd w:w="-5" w:type="dxa"/>
        <w:tblW w:w="10065" w:type="dxa"/>
        <w:pPr>
          <w:ind w:left="-5"/>
        </w:pPr>
        <w:tblLook w:val="0600" w:firstRow="0" w:lastRow="0" w:firstColumn="0" w:lastColumn="0" w:noHBand="1" w:noVBand="1"/>
      </w:tblPr>
      <w:tblGrid>
        <w:gridCol w:w="4395"/>
        <w:gridCol w:w="5670"/>
      </w:tblGrid>
      <w:tr>
        <w:trPr>
          <w:tblHeader w:val="0"/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68275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38376</w:t>
            </w:r>
          </w:p>
        </w:tc>
      </w:tr>
    </w:tbl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8. Сведения о владельце (собственнике) площадки:</w:t>
      </w:r>
    </w:p>
    <w:tbl>
      <w:tblPr>
        <w:tblStyle w:val="NormalTable"/>
        <w:name w:val="Таблица9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4390"/>
        <w:gridCol w:w="5670"/>
      </w:tblGrid>
      <w:tr>
        <w:trPr>
          <w:tblHeader w:val="0"/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Владелец (собственник)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предприятия/ Ф.И.О.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КУМИ администрации Анжеро-Судженского городского округа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Юридический адрес: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Кемеровская область, город Анжеро-Судженск ул. Ленина 6 </w:t>
            </w:r>
          </w:p>
        </w:tc>
      </w:tr>
      <w:tr>
        <w:trPr>
          <w:tblHeader w:val="0"/>
          <w:cantSplit w:val="0"/>
          <w:trHeight w:val="1178" w:hRule="atLeast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Форма владения (использования) землей (и) и зданиями(ий) (собственность, аренда, др.)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собственность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60431170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60431170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Контактное лицо: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Ф.И.О., должность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pStyle w:val="para0"/>
              <w:ind w:left="175" w:right="0" w:hanging="175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Чемякин Илья Владимирович, начальник управления экономического развития, промышленности и предпринимательства 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Телефон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pStyle w:val="para0"/>
              <w:ind w:left="175" w:right="0" w:hanging="175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8-908-930-5042 ; 8(3845) 6-12-79 ; 8(3845)6-56-17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e-mail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70" protected="0"/>
          </w:tcPr>
          <w:p>
            <w:pPr>
              <w:pStyle w:val="para0"/>
              <w:ind w:left="0" w:right="0" w:firstLine="0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hyperlink r:id="rId8" w:history="1">
              <w:r>
                <w:rPr>
                  <w:rStyle w:val="char14"/>
                  <w:rFonts w:ascii="Times New Roman" w:hAnsi="Times New Roman"/>
                  <w:sz w:val="22"/>
                </w:rPr>
                <w:t>upp@anzhero.ru</w:t>
              </w:r>
            </w:hyperlink>
            <w:r>
              <w:rPr>
                <w:rFonts w:ascii="Times New Roman" w:hAnsi="Times New Roman"/>
              </w:rPr>
              <w:t xml:space="preserve"> ; </w:t>
            </w:r>
            <w:hyperlink r:id="rId9" w:history="1">
              <w:r>
                <w:rPr>
                  <w:rStyle w:val="char14"/>
                  <w:rFonts w:ascii="Times New Roman" w:hAnsi="Times New Roman"/>
                </w:rPr>
                <w:t>promotdel@anzhero.ru</w:t>
              </w:r>
            </w:hyperlink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</w:r>
          </w:p>
        </w:tc>
      </w:tr>
    </w:tbl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</w:r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type w:val="nextPage"/>
          <w:pgSz w:h="16838" w:w="11906"/>
          <w:pgMar w:left="992" w:top="1134" w:right="851" w:bottom="1134" w:header="0" w:footer="0"/>
          <w:paperSrc w:first="0" w:other="0" a="0" b="0"/>
          <w:pgNumType w:fmt="decimal" w:start="0"/>
          <w:tmGutter w:val="3"/>
          <w:mirrorMargins w:val="0"/>
          <w:tmSection w:h="-1"/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ind w:firstLine="708"/>
        <w:rPr>
          <w:rFonts w:ascii="Times New Roman" w:hAnsi="Times New Roman"/>
          <w:i/>
          <w:sz w:val="16"/>
        </w:rPr>
      </w:pPr>
      <w:r/>
      <w:r>
        <w:rPr>
          <w:noProof/>
        </w:rPr>
        <w:drawing>
          <wp:inline distT="0" distB="0" distL="114300" distR="114300">
            <wp:extent cx="8782050" cy="6381750"/>
            <wp:effectExtent l="0" t="0" r="0" b="0"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extLst>
                        <a:ext uri="sm">
                          <sm:smNativeData xmlns:sm="sm" val="SMDATA_16_Qgzua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EMCAAD8AQAAHgM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kAAAAB6AAAAAAAAAAAAAAAAAAAAAAAAAAAAAAAAAAAAAAAAAAAAAABjYAAEInAAAAAAAAAAAAAAAAAAAoAAAACAAAAAEAAAABAAAA"/>
                        </a:ext>
                      </a:extLst>
                    </pic:cNvPicPr>
                  </pic:nvPicPr>
                  <pic:blipFill>
                    <a:blip r:embed="rId10"/>
                    <a:srcRect t="5790" r="5080" b="7980"/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/>
          <w:i/>
          <w:sz w:val="16"/>
        </w:rPr>
      </w:r>
    </w:p>
    <w:p>
      <w:pPr>
        <w:rPr>
          <w:rFonts w:ascii="Times New Roman" w:hAnsi="Times New Roman"/>
          <w:b/>
        </w:rPr>
      </w:pPr>
      <w:r/>
      <w:r>
        <w:rPr>
          <w:noProof/>
        </w:rPr>
        <w:drawing>
          <wp:inline distT="0" distB="0" distL="114300" distR="114300">
            <wp:extent cx="8867775" cy="6391275"/>
            <wp:effectExtent l="0" t="0" r="0" b="0"/>
            <wp:docPr id="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extLst>
                        <a:ext uri="sm">
                          <sm:smNativeData xmlns:sm="sm" val="SMDATA_16_Qgzua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F0CAACfAQAA9wI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lAAAAB6AAAAAAAAAAAAAAAAAAAAAAAAAAAAAAAAAAAAAAAAAAAAAAjTYAAFEn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rcRect t="6050" r="4150" b="7590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/>
      <w:r>
        <w:rPr>
          <w:noProof/>
        </w:rPr>
        <w:drawing>
          <wp:inline distT="0" distB="0" distL="114300" distR="114300">
            <wp:extent cx="8667750" cy="6162675"/>
            <wp:effectExtent l="0" t="0" r="0" b="0"/>
            <wp:docPr id="3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extLst>
                        <a:ext uri="sm">
                          <sm:smNativeData xmlns:sm="sm" val="SMDATA_16_Qgzua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+QkAAPcCAABsCQAAkgM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mAAAAB6AAAAAAAAAAAAAAAAAAAAAAAAAAAAAAAAAAAAAAAAAAAAAAUjUAAOklAAAAAAAAAAAAAAAAAAAoAAAACAAAAAEAAAABAAAA"/>
                        </a:ext>
                      </a:extLst>
                    </pic:cNvPicPr>
                  </pic:nvPicPr>
                  <pic:blipFill>
                    <a:blip r:embed="rId12"/>
                    <a:srcRect l="25530" t="7590" r="24120" b="914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/>
          <w:b/>
        </w:rPr>
      </w:r>
    </w:p>
    <w:p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1906" w:w="16838" w:orient="landscape"/>
      <w:pgMar w:left="1134" w:top="993" w:right="1134" w:bottom="850" w:header="0" w:footer="0"/>
      <w:paperSrc w:first="0" w:other="0" a="0" b="0"/>
      <w:pgNumType w:fmt="decimal" w:start="0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ic Roman">
    <w:charset w:val="00"/>
    <w:family w:val="roman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</w:font>
  <w:font w:name="Arial">
    <w:charset w:val="00"/>
    <w:family w:val="auto"/>
    <w:pitch w:val="default"/>
  </w:font>
  <w:font w:name="XO Thames">
    <w:charset w:val="00"/>
    <w:family w:val="roman"/>
    <w:pitch w:val="default"/>
  </w:font>
  <w:font w:name="Segoe UI"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footnote w:id="2">
    <w:p>
      <w:pPr>
        <w:pStyle w:val="para16"/>
      </w:pPr>
      <w:r>
        <w:rPr>
          <w:vertAlign w:val="superscript"/>
        </w:rPr>
      </w:r>
      <w:r>
        <w:rPr>
          <w:vertAlign w:val="superscript"/>
        </w:rPr>
        <w:footnoteRef/>
      </w:r>
      <w:r>
        <w:t xml:space="preserve"> Заполняется по каждому объекту недвижимости </w:t>
      </w:r>
    </w:p>
  </w:footnote>
  <w:footnote w:id="3">
    <w:p>
      <w:pPr>
        <w:pStyle w:val="para16"/>
      </w:pPr>
      <w:r>
        <w:rPr>
          <w:vertAlign w:val="superscript"/>
        </w:rPr>
      </w:r>
      <w:r>
        <w:rPr>
          <w:vertAlign w:val="superscript"/>
        </w:rPr>
        <w:footnoteRef/>
      </w:r>
      <w:r>
        <w:t>Для инвестиционных площадок производственного назначения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2"/>
    <w:tmReviewMarkIns w:val="4"/>
    <w:tmReviewColorIns w:val="-1"/>
    <w:tmReviewMarkDel w:val="7"/>
    <w:tmReviewColorDel w:val="-1"/>
    <w:tmReviewMarkFmt w:val="7"/>
    <w:tmReviewColorFmt w:val="-1"/>
    <w:tmReviewMarkLn w:val="1"/>
    <w:tmReviewColorLn w:val="0"/>
    <w:tmReviewToolTip w:val="1"/>
  </w:tmReviewPr>
  <w:tmLastPos>
    <w:tmLastPosPage w:val="2"/>
    <w:tmLastPosSelect w:val="0"/>
    <w:tmLastPosFrameIdx w:val="158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60431170" w:val="1216" w:fileVer="342" w:fileVer64="64" w:fileVerOS="3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hAnsi="Arial" w:eastAsia="Basic Roman" w:cs="Basic Roman"/>
        <w:color w:val="000000"/>
        <w:sz w:val="24"/>
        <w:szCs w:val="20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List Paragraph"/>
    <w:qFormat/>
    <w:basedOn w:val="para0"/>
    <w:pPr>
      <w:ind w:left="720"/>
      <w:contextualSpacing/>
    </w:pPr>
  </w:style>
  <w:style w:type="paragraph" w:styleId="para2">
    <w:name w:val="toc 2"/>
    <w:qFormat/>
    <w:next w:val="para0"/>
    <w:pPr>
      <w:ind w:left="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3">
    <w:name w:val="toc 4"/>
    <w:qFormat/>
    <w:next w:val="para0"/>
    <w:pPr>
      <w:ind w:left="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4" w:customStyle="1">
    <w:name w:val="Основной шрифт абзаца"/>
    <w:qFormat/>
    <w:pPr>
      <w:spacing w:after="160" w:line="264" w:lineRule="auto"/>
    </w:pPr>
    <w:rPr>
      <w:rFonts w:ascii="Calibri" w:hAnsi="Calibri"/>
      <w:color w:val="000000"/>
      <w:sz w:val="22"/>
      <w:lang w:val="ru-ru" w:eastAsia="zh-cn" w:bidi="ar-sa"/>
    </w:rPr>
  </w:style>
  <w:style w:type="paragraph" w:styleId="para5" w:customStyle="1">
    <w:name w:val="Unresolved Mention"/>
    <w:qFormat/>
    <w:basedOn w:val="para4"/>
    <w:rPr>
      <w:color w:val="605e5c"/>
      <w:shd w:val="clear" w:fill="e1dfdd"/>
    </w:rPr>
  </w:style>
  <w:style w:type="paragraph" w:styleId="para6">
    <w:name w:val="toc 6"/>
    <w:qFormat/>
    <w:next w:val="para0"/>
    <w:pPr>
      <w:ind w:left="10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7">
    <w:name w:val="toc 7"/>
    <w:qFormat/>
    <w:next w:val="para0"/>
    <w:pPr>
      <w:ind w:left="1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8">
    <w:name w:val="heading 3"/>
    <w:qFormat/>
    <w:next w:val="para0"/>
    <w:pPr>
      <w:spacing w:before="120" w:after="120" w:line="264" w:lineRule="auto"/>
      <w:jc w:val="both"/>
      <w:outlineLvl w:val="2"/>
    </w:pPr>
    <w:rPr>
      <w:rFonts w:ascii="XO Thames" w:hAnsi="XO Thames"/>
      <w:b/>
      <w:color w:val="000000"/>
      <w:sz w:val="26"/>
      <w:lang w:val="ru-ru" w:eastAsia="zh-cn" w:bidi="ar-sa"/>
    </w:rPr>
  </w:style>
  <w:style w:type="paragraph" w:styleId="para9">
    <w:name w:val="No Spacing"/>
    <w:qFormat/>
    <w:rPr>
      <w:rFonts w:ascii="Calibri" w:hAnsi="Calibri"/>
      <w:color w:val="000000"/>
      <w:sz w:val="22"/>
      <w:lang w:val="ru-ru" w:eastAsia="zh-cn" w:bidi="ar-sa"/>
    </w:rPr>
  </w:style>
  <w:style w:type="paragraph" w:styleId="para10">
    <w:name w:val="toc 3"/>
    <w:qFormat/>
    <w:next w:val="para0"/>
    <w:pPr>
      <w:ind w:left="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11" w:customStyle="1">
    <w:name w:val="Знак сноски"/>
    <w:qFormat/>
    <w:pPr>
      <w:spacing w:after="160" w:line="264" w:lineRule="auto"/>
    </w:pPr>
    <w:rPr>
      <w:rFonts w:ascii="Calibri" w:hAnsi="Calibri"/>
      <w:color w:val="000000"/>
      <w:sz w:val="22"/>
      <w:vertAlign w:val="superscript"/>
      <w:lang w:val="ru-ru" w:eastAsia="zh-cn" w:bidi="ar-sa"/>
    </w:rPr>
  </w:style>
  <w:style w:type="paragraph" w:styleId="para12">
    <w:name w:val="Balloon Text"/>
    <w:qFormat/>
    <w:basedOn w:val="para0"/>
    <w:rPr>
      <w:rFonts w:ascii="Segoe UI" w:hAnsi="Segoe UI"/>
      <w:sz w:val="18"/>
    </w:rPr>
  </w:style>
  <w:style w:type="paragraph" w:styleId="para13">
    <w:name w:val="heading 5"/>
    <w:qFormat/>
    <w:next w:val="para0"/>
    <w:pPr>
      <w:spacing w:before="120" w:after="120" w:line="264" w:lineRule="auto"/>
      <w:jc w:val="both"/>
      <w:outlineLvl w:val="4"/>
    </w:pPr>
    <w:rPr>
      <w:rFonts w:ascii="XO Thames" w:hAnsi="XO Thames"/>
      <w:b/>
      <w:color w:val="000000"/>
      <w:sz w:val="22"/>
      <w:lang w:val="ru-ru" w:eastAsia="zh-cn" w:bidi="ar-sa"/>
    </w:rPr>
  </w:style>
  <w:style w:type="paragraph" w:styleId="para14">
    <w:name w:val="heading 1"/>
    <w:qFormat/>
    <w:next w:val="para0"/>
    <w:pPr>
      <w:spacing w:before="120" w:after="120" w:line="264" w:lineRule="auto"/>
      <w:jc w:val="both"/>
      <w:outlineLvl w:val="0"/>
    </w:pPr>
    <w:rPr>
      <w:rFonts w:ascii="XO Thames" w:hAnsi="XO Thames"/>
      <w:b/>
      <w:color w:val="000000"/>
      <w:sz w:val="32"/>
      <w:lang w:val="ru-ru" w:eastAsia="zh-cn" w:bidi="ar-sa"/>
    </w:rPr>
  </w:style>
  <w:style w:type="paragraph" w:styleId="para15" w:customStyle="1">
    <w:name w:val="Гиперссылка"/>
    <w:qFormat/>
    <w:basedOn w:val="para4"/>
    <w:rPr>
      <w:color w:val="0563c1"/>
      <w:u w:color="auto" w:val="single"/>
    </w:rPr>
  </w:style>
  <w:style w:type="paragraph" w:styleId="para16" w:customStyle="1">
    <w:name w:val="Footnote"/>
    <w:qFormat/>
    <w:basedOn w:val="para0"/>
    <w:rPr>
      <w:rFonts w:ascii="Times New Roman" w:hAnsi="Times New Roman"/>
      <w:sz w:val="20"/>
    </w:rPr>
  </w:style>
  <w:style w:type="paragraph" w:styleId="para17">
    <w:name w:val="toc 1"/>
    <w:qFormat/>
    <w:next w:val="para0"/>
    <w:pPr>
      <w:spacing w:after="160" w:line="264" w:lineRule="auto"/>
    </w:pPr>
    <w:rPr>
      <w:rFonts w:ascii="XO Thames" w:hAnsi="XO Thames"/>
      <w:b/>
      <w:color w:val="000000"/>
      <w:sz w:val="28"/>
      <w:lang w:val="ru-ru" w:eastAsia="zh-cn" w:bidi="ar-sa"/>
    </w:rPr>
  </w:style>
  <w:style w:type="paragraph" w:styleId="para18" w:customStyle="1">
    <w:name w:val="Header and Footer"/>
    <w:qFormat/>
    <w:pPr>
      <w:spacing w:after="160"/>
      <w:jc w:val="both"/>
    </w:pPr>
    <w:rPr>
      <w:rFonts w:ascii="XO Thames" w:hAnsi="XO Thames"/>
      <w:color w:val="000000"/>
      <w:sz w:val="24"/>
      <w:lang w:val="ru-ru" w:eastAsia="zh-cn" w:bidi="ar-sa"/>
    </w:rPr>
  </w:style>
  <w:style w:type="paragraph" w:styleId="para19">
    <w:name w:val="toc 9"/>
    <w:qFormat/>
    <w:next w:val="para0"/>
    <w:pPr>
      <w:ind w:left="1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0">
    <w:name w:val="toc 8"/>
    <w:qFormat/>
    <w:next w:val="para0"/>
    <w:pPr>
      <w:ind w:left="1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1">
    <w:name w:val="toc 5"/>
    <w:qFormat/>
    <w:next w:val="para0"/>
    <w:pPr>
      <w:ind w:left="8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2">
    <w:name w:val="Subtitle"/>
    <w:qFormat/>
    <w:next w:val="para0"/>
    <w:pPr>
      <w:spacing w:after="160" w:line="264" w:lineRule="auto"/>
      <w:jc w:val="both"/>
    </w:pPr>
    <w:rPr>
      <w:rFonts w:ascii="XO Thames" w:hAnsi="XO Thames"/>
      <w:i/>
      <w:color w:val="000000"/>
      <w:sz w:val="24"/>
      <w:lang w:val="ru-ru" w:eastAsia="zh-cn" w:bidi="ar-sa"/>
    </w:rPr>
  </w:style>
  <w:style w:type="paragraph" w:styleId="para23">
    <w:name w:val="Title"/>
    <w:qFormat/>
    <w:next w:val="para0"/>
    <w:pPr>
      <w:spacing w:before="567" w:after="567" w:line="264" w:lineRule="auto"/>
      <w:jc w:val="center"/>
    </w:pPr>
    <w:rPr>
      <w:rFonts w:ascii="XO Thames" w:hAnsi="XO Thames"/>
      <w:b/>
      <w:caps/>
      <w:color w:val="000000"/>
      <w:sz w:val="40"/>
      <w:lang w:val="ru-ru" w:eastAsia="zh-cn" w:bidi="ar-sa"/>
    </w:rPr>
  </w:style>
  <w:style w:type="paragraph" w:styleId="para24">
    <w:name w:val="heading 4"/>
    <w:qFormat/>
    <w:next w:val="para0"/>
    <w:pPr>
      <w:spacing w:before="120" w:after="120" w:line="264" w:lineRule="auto"/>
      <w:jc w:val="both"/>
      <w:outlineLvl w:val="3"/>
    </w:pPr>
    <w:rPr>
      <w:rFonts w:ascii="XO Thames" w:hAnsi="XO Thames"/>
      <w:b/>
      <w:color w:val="000000"/>
      <w:sz w:val="24"/>
      <w:lang w:val="ru-ru" w:eastAsia="zh-cn" w:bidi="ar-sa"/>
    </w:rPr>
  </w:style>
  <w:style w:type="paragraph" w:styleId="para25" w:customStyle="1">
    <w:name w:val="Default"/>
    <w:qFormat/>
    <w:rPr>
      <w:rFonts w:ascii="Times New Roman" w:hAnsi="Times New Roman"/>
      <w:color w:val="000000"/>
      <w:sz w:val="24"/>
      <w:lang w:val="ru-ru" w:eastAsia="zh-cn" w:bidi="ar-sa"/>
    </w:rPr>
  </w:style>
  <w:style w:type="paragraph" w:styleId="para26">
    <w:name w:val="heading 2"/>
    <w:qFormat/>
    <w:next w:val="para0"/>
    <w:pPr>
      <w:spacing w:before="120" w:after="120" w:line="264" w:lineRule="auto"/>
      <w:jc w:val="both"/>
      <w:outlineLvl w:val="1"/>
    </w:pPr>
    <w:rPr>
      <w:rFonts w:ascii="XO Thames" w:hAnsi="XO Thames"/>
      <w:b/>
      <w:color w:val="000000"/>
      <w:sz w:val="28"/>
      <w:lang w:val="ru-ru" w:eastAsia="zh-cn" w:bidi="ar-sa"/>
    </w:rPr>
  </w:style>
  <w:style w:type="character" w:styleId="char0" w:default="1">
    <w:name w:val="Default Paragraph Font"/>
  </w:style>
  <w:style w:type="character" w:styleId="char1" w:customStyle="1">
    <w:name w:val="Абзац списка"/>
    <w:basedOnNormal/>
  </w:style>
  <w:style w:type="character" w:styleId="char2" w:customStyle="1">
    <w:name w:val="Оглавление 2"/>
    <w:rPr>
      <w:rFonts w:ascii="XO Thames" w:hAnsi="XO Thames"/>
      <w:sz w:val="28"/>
    </w:rPr>
  </w:style>
  <w:style w:type="character" w:styleId="char3" w:customStyle="1">
    <w:name w:val="Оглавление 4"/>
    <w:rPr>
      <w:rFonts w:ascii="XO Thames" w:hAnsi="XO Thames"/>
      <w:sz w:val="28"/>
    </w:rPr>
  </w:style>
  <w:style w:type="character" w:styleId="char4" w:customStyle="1">
    <w:name w:val="Unresolved Mention"/>
    <w:basedOn w:val="char0"/>
    <w:rPr>
      <w:color w:val="605e5c"/>
      <w:shd w:val="clear" w:fill="e1dfdd"/>
    </w:rPr>
  </w:style>
  <w:style w:type="character" w:styleId="char5" w:customStyle="1">
    <w:name w:val="Оглавление 6"/>
    <w:rPr>
      <w:rFonts w:ascii="XO Thames" w:hAnsi="XO Thames"/>
      <w:sz w:val="28"/>
    </w:rPr>
  </w:style>
  <w:style w:type="character" w:styleId="char6" w:customStyle="1">
    <w:name w:val="Оглавление 7"/>
    <w:rPr>
      <w:rFonts w:ascii="XO Thames" w:hAnsi="XO Thames"/>
      <w:sz w:val="28"/>
    </w:rPr>
  </w:style>
  <w:style w:type="character" w:styleId="char7" w:customStyle="1">
    <w:name w:val="Заголовок 3"/>
    <w:rPr>
      <w:rFonts w:ascii="XO Thames" w:hAnsi="XO Thames"/>
      <w:b/>
      <w:sz w:val="26"/>
    </w:rPr>
  </w:style>
  <w:style w:type="character" w:styleId="char8" w:customStyle="1">
    <w:name w:val="Без интервала"/>
  </w:style>
  <w:style w:type="character" w:styleId="char9" w:customStyle="1">
    <w:name w:val="Оглавление 3"/>
    <w:rPr>
      <w:rFonts w:ascii="XO Thames" w:hAnsi="XO Thames"/>
      <w:sz w:val="28"/>
    </w:rPr>
  </w:style>
  <w:style w:type="character" w:styleId="char10">
    <w:name w:val="Footnote Reference"/>
    <w:rPr>
      <w:vertAlign w:val="superscript"/>
    </w:rPr>
  </w:style>
  <w:style w:type="character" w:styleId="char11" w:customStyle="1">
    <w:name w:val="Текст выноски"/>
    <w:basedOnNormal/>
    <w:rPr>
      <w:rFonts w:ascii="Segoe UI" w:hAnsi="Segoe UI"/>
      <w:sz w:val="18"/>
    </w:rPr>
  </w:style>
  <w:style w:type="character" w:styleId="char12" w:customStyle="1">
    <w:name w:val="Заголовок 5"/>
    <w:rPr>
      <w:rFonts w:ascii="XO Thames" w:hAnsi="XO Thames"/>
      <w:b/>
      <w:sz w:val="22"/>
    </w:rPr>
  </w:style>
  <w:style w:type="character" w:styleId="char13" w:customStyle="1">
    <w:name w:val="Заголовок 1"/>
    <w:rPr>
      <w:rFonts w:ascii="XO Thames" w:hAnsi="XO Thames"/>
      <w:b/>
      <w:sz w:val="32"/>
    </w:rPr>
  </w:style>
  <w:style w:type="character" w:styleId="char14">
    <w:name w:val="Hyperlink"/>
    <w:basedOn w:val="char0"/>
    <w:rPr>
      <w:color w:val="0563c1"/>
      <w:u w:color="auto" w:val="single"/>
    </w:rPr>
  </w:style>
  <w:style w:type="character" w:styleId="char15" w:customStyle="1">
    <w:name w:val="Footnote"/>
    <w:basedOnNormal/>
    <w:rPr>
      <w:rFonts w:ascii="Times New Roman" w:hAnsi="Times New Roman"/>
      <w:sz w:val="20"/>
    </w:rPr>
  </w:style>
  <w:style w:type="character" w:styleId="char16" w:customStyle="1">
    <w:name w:val="Оглавление 1"/>
    <w:rPr>
      <w:rFonts w:ascii="XO Thames" w:hAnsi="XO Thames"/>
      <w:b/>
      <w:sz w:val="28"/>
    </w:rPr>
  </w:style>
  <w:style w:type="character" w:styleId="char17" w:customStyle="1">
    <w:name w:val="Header and Footer"/>
    <w:rPr>
      <w:rFonts w:ascii="XO Thames" w:hAnsi="XO Thames"/>
      <w:sz w:val="20"/>
    </w:rPr>
  </w:style>
  <w:style w:type="character" w:styleId="char18" w:customStyle="1">
    <w:name w:val="Оглавление 9"/>
    <w:rPr>
      <w:rFonts w:ascii="XO Thames" w:hAnsi="XO Thames"/>
      <w:sz w:val="28"/>
    </w:rPr>
  </w:style>
  <w:style w:type="character" w:styleId="char19" w:customStyle="1">
    <w:name w:val="Оглавление 8"/>
    <w:rPr>
      <w:rFonts w:ascii="XO Thames" w:hAnsi="XO Thames"/>
      <w:sz w:val="28"/>
    </w:rPr>
  </w:style>
  <w:style w:type="character" w:styleId="char20" w:customStyle="1">
    <w:name w:val="Оглавление 5"/>
    <w:rPr>
      <w:rFonts w:ascii="XO Thames" w:hAnsi="XO Thames"/>
      <w:sz w:val="28"/>
    </w:rPr>
  </w:style>
  <w:style w:type="character" w:styleId="char21" w:customStyle="1">
    <w:name w:val="Подзаголовок"/>
    <w:rPr>
      <w:rFonts w:ascii="XO Thames" w:hAnsi="XO Thames"/>
      <w:i/>
      <w:sz w:val="24"/>
    </w:rPr>
  </w:style>
  <w:style w:type="character" w:styleId="char22" w:customStyle="1">
    <w:name w:val="Название"/>
    <w:rPr>
      <w:rFonts w:ascii="XO Thames" w:hAnsi="XO Thames"/>
      <w:b/>
      <w:caps/>
      <w:sz w:val="40"/>
    </w:rPr>
  </w:style>
  <w:style w:type="character" w:styleId="char23" w:customStyle="1">
    <w:name w:val="Заголовок 4"/>
    <w:rPr>
      <w:rFonts w:ascii="XO Thames" w:hAnsi="XO Thames"/>
      <w:b/>
      <w:sz w:val="24"/>
    </w:rPr>
  </w:style>
  <w:style w:type="character" w:styleId="char24" w:customStyle="1">
    <w:name w:val="Default"/>
    <w:rPr>
      <w:rFonts w:ascii="Times New Roman" w:hAnsi="Times New Roman"/>
      <w:color w:val="000000"/>
      <w:sz w:val="24"/>
    </w:rPr>
  </w:style>
  <w:style w:type="character" w:styleId="char25" w:customStyle="1">
    <w:name w:val="Заголовок 2"/>
    <w:rPr>
      <w:rFonts w:ascii="XO Thames" w:hAnsi="XO Thames"/>
      <w:b/>
      <w:sz w:val="28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Сетка таблицы"/>
    <w:basedOn w:val="NormalTable"/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Arial" w:hAnsi="Arial" w:eastAsia="Basic Roman" w:cs="Basic Roman"/>
        <w:color w:val="000000"/>
        <w:sz w:val="24"/>
        <w:szCs w:val="20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List Paragraph"/>
    <w:qFormat/>
    <w:basedOn w:val="para0"/>
    <w:pPr>
      <w:ind w:left="720"/>
      <w:contextualSpacing/>
    </w:pPr>
  </w:style>
  <w:style w:type="paragraph" w:styleId="para2">
    <w:name w:val="toc 2"/>
    <w:qFormat/>
    <w:next w:val="para0"/>
    <w:pPr>
      <w:ind w:left="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3">
    <w:name w:val="toc 4"/>
    <w:qFormat/>
    <w:next w:val="para0"/>
    <w:pPr>
      <w:ind w:left="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4" w:customStyle="1">
    <w:name w:val="Основной шрифт абзаца"/>
    <w:qFormat/>
    <w:pPr>
      <w:spacing w:after="160" w:line="264" w:lineRule="auto"/>
    </w:pPr>
    <w:rPr>
      <w:rFonts w:ascii="Calibri" w:hAnsi="Calibri"/>
      <w:color w:val="000000"/>
      <w:sz w:val="22"/>
      <w:lang w:val="ru-ru" w:eastAsia="zh-cn" w:bidi="ar-sa"/>
    </w:rPr>
  </w:style>
  <w:style w:type="paragraph" w:styleId="para5" w:customStyle="1">
    <w:name w:val="Unresolved Mention"/>
    <w:qFormat/>
    <w:basedOn w:val="para4"/>
    <w:rPr>
      <w:color w:val="605e5c"/>
      <w:shd w:val="clear" w:fill="e1dfdd"/>
    </w:rPr>
  </w:style>
  <w:style w:type="paragraph" w:styleId="para6">
    <w:name w:val="toc 6"/>
    <w:qFormat/>
    <w:next w:val="para0"/>
    <w:pPr>
      <w:ind w:left="10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7">
    <w:name w:val="toc 7"/>
    <w:qFormat/>
    <w:next w:val="para0"/>
    <w:pPr>
      <w:ind w:left="1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8">
    <w:name w:val="heading 3"/>
    <w:qFormat/>
    <w:next w:val="para0"/>
    <w:pPr>
      <w:spacing w:before="120" w:after="120" w:line="264" w:lineRule="auto"/>
      <w:jc w:val="both"/>
      <w:outlineLvl w:val="2"/>
    </w:pPr>
    <w:rPr>
      <w:rFonts w:ascii="XO Thames" w:hAnsi="XO Thames"/>
      <w:b/>
      <w:color w:val="000000"/>
      <w:sz w:val="26"/>
      <w:lang w:val="ru-ru" w:eastAsia="zh-cn" w:bidi="ar-sa"/>
    </w:rPr>
  </w:style>
  <w:style w:type="paragraph" w:styleId="para9">
    <w:name w:val="No Spacing"/>
    <w:qFormat/>
    <w:rPr>
      <w:rFonts w:ascii="Calibri" w:hAnsi="Calibri"/>
      <w:color w:val="000000"/>
      <w:sz w:val="22"/>
      <w:lang w:val="ru-ru" w:eastAsia="zh-cn" w:bidi="ar-sa"/>
    </w:rPr>
  </w:style>
  <w:style w:type="paragraph" w:styleId="para10">
    <w:name w:val="toc 3"/>
    <w:qFormat/>
    <w:next w:val="para0"/>
    <w:pPr>
      <w:ind w:left="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11" w:customStyle="1">
    <w:name w:val="Знак сноски"/>
    <w:qFormat/>
    <w:pPr>
      <w:spacing w:after="160" w:line="264" w:lineRule="auto"/>
    </w:pPr>
    <w:rPr>
      <w:rFonts w:ascii="Calibri" w:hAnsi="Calibri"/>
      <w:color w:val="000000"/>
      <w:sz w:val="22"/>
      <w:vertAlign w:val="superscript"/>
      <w:lang w:val="ru-ru" w:eastAsia="zh-cn" w:bidi="ar-sa"/>
    </w:rPr>
  </w:style>
  <w:style w:type="paragraph" w:styleId="para12">
    <w:name w:val="Balloon Text"/>
    <w:qFormat/>
    <w:basedOn w:val="para0"/>
    <w:rPr>
      <w:rFonts w:ascii="Segoe UI" w:hAnsi="Segoe UI"/>
      <w:sz w:val="18"/>
    </w:rPr>
  </w:style>
  <w:style w:type="paragraph" w:styleId="para13">
    <w:name w:val="heading 5"/>
    <w:qFormat/>
    <w:next w:val="para0"/>
    <w:pPr>
      <w:spacing w:before="120" w:after="120" w:line="264" w:lineRule="auto"/>
      <w:jc w:val="both"/>
      <w:outlineLvl w:val="4"/>
    </w:pPr>
    <w:rPr>
      <w:rFonts w:ascii="XO Thames" w:hAnsi="XO Thames"/>
      <w:b/>
      <w:color w:val="000000"/>
      <w:sz w:val="22"/>
      <w:lang w:val="ru-ru" w:eastAsia="zh-cn" w:bidi="ar-sa"/>
    </w:rPr>
  </w:style>
  <w:style w:type="paragraph" w:styleId="para14">
    <w:name w:val="heading 1"/>
    <w:qFormat/>
    <w:next w:val="para0"/>
    <w:pPr>
      <w:spacing w:before="120" w:after="120" w:line="264" w:lineRule="auto"/>
      <w:jc w:val="both"/>
      <w:outlineLvl w:val="0"/>
    </w:pPr>
    <w:rPr>
      <w:rFonts w:ascii="XO Thames" w:hAnsi="XO Thames"/>
      <w:b/>
      <w:color w:val="000000"/>
      <w:sz w:val="32"/>
      <w:lang w:val="ru-ru" w:eastAsia="zh-cn" w:bidi="ar-sa"/>
    </w:rPr>
  </w:style>
  <w:style w:type="paragraph" w:styleId="para15" w:customStyle="1">
    <w:name w:val="Гиперссылка"/>
    <w:qFormat/>
    <w:basedOn w:val="para4"/>
    <w:rPr>
      <w:color w:val="0563c1"/>
      <w:u w:color="auto" w:val="single"/>
    </w:rPr>
  </w:style>
  <w:style w:type="paragraph" w:styleId="para16" w:customStyle="1">
    <w:name w:val="Footnote"/>
    <w:qFormat/>
    <w:basedOn w:val="para0"/>
    <w:rPr>
      <w:rFonts w:ascii="Times New Roman" w:hAnsi="Times New Roman"/>
      <w:sz w:val="20"/>
    </w:rPr>
  </w:style>
  <w:style w:type="paragraph" w:styleId="para17">
    <w:name w:val="toc 1"/>
    <w:qFormat/>
    <w:next w:val="para0"/>
    <w:pPr>
      <w:spacing w:after="160" w:line="264" w:lineRule="auto"/>
    </w:pPr>
    <w:rPr>
      <w:rFonts w:ascii="XO Thames" w:hAnsi="XO Thames"/>
      <w:b/>
      <w:color w:val="000000"/>
      <w:sz w:val="28"/>
      <w:lang w:val="ru-ru" w:eastAsia="zh-cn" w:bidi="ar-sa"/>
    </w:rPr>
  </w:style>
  <w:style w:type="paragraph" w:styleId="para18" w:customStyle="1">
    <w:name w:val="Header and Footer"/>
    <w:qFormat/>
    <w:pPr>
      <w:spacing w:after="160"/>
      <w:jc w:val="both"/>
    </w:pPr>
    <w:rPr>
      <w:rFonts w:ascii="XO Thames" w:hAnsi="XO Thames"/>
      <w:color w:val="000000"/>
      <w:sz w:val="24"/>
      <w:lang w:val="ru-ru" w:eastAsia="zh-cn" w:bidi="ar-sa"/>
    </w:rPr>
  </w:style>
  <w:style w:type="paragraph" w:styleId="para19">
    <w:name w:val="toc 9"/>
    <w:qFormat/>
    <w:next w:val="para0"/>
    <w:pPr>
      <w:ind w:left="1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0">
    <w:name w:val="toc 8"/>
    <w:qFormat/>
    <w:next w:val="para0"/>
    <w:pPr>
      <w:ind w:left="1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1">
    <w:name w:val="toc 5"/>
    <w:qFormat/>
    <w:next w:val="para0"/>
    <w:pPr>
      <w:ind w:left="8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2">
    <w:name w:val="Subtitle"/>
    <w:qFormat/>
    <w:next w:val="para0"/>
    <w:pPr>
      <w:spacing w:after="160" w:line="264" w:lineRule="auto"/>
      <w:jc w:val="both"/>
    </w:pPr>
    <w:rPr>
      <w:rFonts w:ascii="XO Thames" w:hAnsi="XO Thames"/>
      <w:i/>
      <w:color w:val="000000"/>
      <w:sz w:val="24"/>
      <w:lang w:val="ru-ru" w:eastAsia="zh-cn" w:bidi="ar-sa"/>
    </w:rPr>
  </w:style>
  <w:style w:type="paragraph" w:styleId="para23">
    <w:name w:val="Title"/>
    <w:qFormat/>
    <w:next w:val="para0"/>
    <w:pPr>
      <w:spacing w:before="567" w:after="567" w:line="264" w:lineRule="auto"/>
      <w:jc w:val="center"/>
    </w:pPr>
    <w:rPr>
      <w:rFonts w:ascii="XO Thames" w:hAnsi="XO Thames"/>
      <w:b/>
      <w:caps/>
      <w:color w:val="000000"/>
      <w:sz w:val="40"/>
      <w:lang w:val="ru-ru" w:eastAsia="zh-cn" w:bidi="ar-sa"/>
    </w:rPr>
  </w:style>
  <w:style w:type="paragraph" w:styleId="para24">
    <w:name w:val="heading 4"/>
    <w:qFormat/>
    <w:next w:val="para0"/>
    <w:pPr>
      <w:spacing w:before="120" w:after="120" w:line="264" w:lineRule="auto"/>
      <w:jc w:val="both"/>
      <w:outlineLvl w:val="3"/>
    </w:pPr>
    <w:rPr>
      <w:rFonts w:ascii="XO Thames" w:hAnsi="XO Thames"/>
      <w:b/>
      <w:color w:val="000000"/>
      <w:sz w:val="24"/>
      <w:lang w:val="ru-ru" w:eastAsia="zh-cn" w:bidi="ar-sa"/>
    </w:rPr>
  </w:style>
  <w:style w:type="paragraph" w:styleId="para25" w:customStyle="1">
    <w:name w:val="Default"/>
    <w:qFormat/>
    <w:rPr>
      <w:rFonts w:ascii="Times New Roman" w:hAnsi="Times New Roman"/>
      <w:color w:val="000000"/>
      <w:sz w:val="24"/>
      <w:lang w:val="ru-ru" w:eastAsia="zh-cn" w:bidi="ar-sa"/>
    </w:rPr>
  </w:style>
  <w:style w:type="paragraph" w:styleId="para26">
    <w:name w:val="heading 2"/>
    <w:qFormat/>
    <w:next w:val="para0"/>
    <w:pPr>
      <w:spacing w:before="120" w:after="120" w:line="264" w:lineRule="auto"/>
      <w:jc w:val="both"/>
      <w:outlineLvl w:val="1"/>
    </w:pPr>
    <w:rPr>
      <w:rFonts w:ascii="XO Thames" w:hAnsi="XO Thames"/>
      <w:b/>
      <w:color w:val="000000"/>
      <w:sz w:val="28"/>
      <w:lang w:val="ru-ru" w:eastAsia="zh-cn" w:bidi="ar-sa"/>
    </w:rPr>
  </w:style>
  <w:style w:type="character" w:styleId="char0" w:default="1">
    <w:name w:val="Default Paragraph Font"/>
  </w:style>
  <w:style w:type="character" w:styleId="char1" w:customStyle="1">
    <w:name w:val="Абзац списка"/>
    <w:basedOnNormal/>
  </w:style>
  <w:style w:type="character" w:styleId="char2" w:customStyle="1">
    <w:name w:val="Оглавление 2"/>
    <w:rPr>
      <w:rFonts w:ascii="XO Thames" w:hAnsi="XO Thames"/>
      <w:sz w:val="28"/>
    </w:rPr>
  </w:style>
  <w:style w:type="character" w:styleId="char3" w:customStyle="1">
    <w:name w:val="Оглавление 4"/>
    <w:rPr>
      <w:rFonts w:ascii="XO Thames" w:hAnsi="XO Thames"/>
      <w:sz w:val="28"/>
    </w:rPr>
  </w:style>
  <w:style w:type="character" w:styleId="char4" w:customStyle="1">
    <w:name w:val="Unresolved Mention"/>
    <w:basedOn w:val="char0"/>
    <w:rPr>
      <w:color w:val="605e5c"/>
      <w:shd w:val="clear" w:fill="e1dfdd"/>
    </w:rPr>
  </w:style>
  <w:style w:type="character" w:styleId="char5" w:customStyle="1">
    <w:name w:val="Оглавление 6"/>
    <w:rPr>
      <w:rFonts w:ascii="XO Thames" w:hAnsi="XO Thames"/>
      <w:sz w:val="28"/>
    </w:rPr>
  </w:style>
  <w:style w:type="character" w:styleId="char6" w:customStyle="1">
    <w:name w:val="Оглавление 7"/>
    <w:rPr>
      <w:rFonts w:ascii="XO Thames" w:hAnsi="XO Thames"/>
      <w:sz w:val="28"/>
    </w:rPr>
  </w:style>
  <w:style w:type="character" w:styleId="char7" w:customStyle="1">
    <w:name w:val="Заголовок 3"/>
    <w:rPr>
      <w:rFonts w:ascii="XO Thames" w:hAnsi="XO Thames"/>
      <w:b/>
      <w:sz w:val="26"/>
    </w:rPr>
  </w:style>
  <w:style w:type="character" w:styleId="char8" w:customStyle="1">
    <w:name w:val="Без интервала"/>
  </w:style>
  <w:style w:type="character" w:styleId="char9" w:customStyle="1">
    <w:name w:val="Оглавление 3"/>
    <w:rPr>
      <w:rFonts w:ascii="XO Thames" w:hAnsi="XO Thames"/>
      <w:sz w:val="28"/>
    </w:rPr>
  </w:style>
  <w:style w:type="character" w:styleId="char10">
    <w:name w:val="Footnote Reference"/>
    <w:rPr>
      <w:vertAlign w:val="superscript"/>
    </w:rPr>
  </w:style>
  <w:style w:type="character" w:styleId="char11" w:customStyle="1">
    <w:name w:val="Текст выноски"/>
    <w:basedOnNormal/>
    <w:rPr>
      <w:rFonts w:ascii="Segoe UI" w:hAnsi="Segoe UI"/>
      <w:sz w:val="18"/>
    </w:rPr>
  </w:style>
  <w:style w:type="character" w:styleId="char12" w:customStyle="1">
    <w:name w:val="Заголовок 5"/>
    <w:rPr>
      <w:rFonts w:ascii="XO Thames" w:hAnsi="XO Thames"/>
      <w:b/>
      <w:sz w:val="22"/>
    </w:rPr>
  </w:style>
  <w:style w:type="character" w:styleId="char13" w:customStyle="1">
    <w:name w:val="Заголовок 1"/>
    <w:rPr>
      <w:rFonts w:ascii="XO Thames" w:hAnsi="XO Thames"/>
      <w:b/>
      <w:sz w:val="32"/>
    </w:rPr>
  </w:style>
  <w:style w:type="character" w:styleId="char14">
    <w:name w:val="Hyperlink"/>
    <w:basedOn w:val="char0"/>
    <w:rPr>
      <w:color w:val="0563c1"/>
      <w:u w:color="auto" w:val="single"/>
    </w:rPr>
  </w:style>
  <w:style w:type="character" w:styleId="char15" w:customStyle="1">
    <w:name w:val="Footnote"/>
    <w:basedOnNormal/>
    <w:rPr>
      <w:rFonts w:ascii="Times New Roman" w:hAnsi="Times New Roman"/>
      <w:sz w:val="20"/>
    </w:rPr>
  </w:style>
  <w:style w:type="character" w:styleId="char16" w:customStyle="1">
    <w:name w:val="Оглавление 1"/>
    <w:rPr>
      <w:rFonts w:ascii="XO Thames" w:hAnsi="XO Thames"/>
      <w:b/>
      <w:sz w:val="28"/>
    </w:rPr>
  </w:style>
  <w:style w:type="character" w:styleId="char17" w:customStyle="1">
    <w:name w:val="Header and Footer"/>
    <w:rPr>
      <w:rFonts w:ascii="XO Thames" w:hAnsi="XO Thames"/>
      <w:sz w:val="20"/>
    </w:rPr>
  </w:style>
  <w:style w:type="character" w:styleId="char18" w:customStyle="1">
    <w:name w:val="Оглавление 9"/>
    <w:rPr>
      <w:rFonts w:ascii="XO Thames" w:hAnsi="XO Thames"/>
      <w:sz w:val="28"/>
    </w:rPr>
  </w:style>
  <w:style w:type="character" w:styleId="char19" w:customStyle="1">
    <w:name w:val="Оглавление 8"/>
    <w:rPr>
      <w:rFonts w:ascii="XO Thames" w:hAnsi="XO Thames"/>
      <w:sz w:val="28"/>
    </w:rPr>
  </w:style>
  <w:style w:type="character" w:styleId="char20" w:customStyle="1">
    <w:name w:val="Оглавление 5"/>
    <w:rPr>
      <w:rFonts w:ascii="XO Thames" w:hAnsi="XO Thames"/>
      <w:sz w:val="28"/>
    </w:rPr>
  </w:style>
  <w:style w:type="character" w:styleId="char21" w:customStyle="1">
    <w:name w:val="Подзаголовок"/>
    <w:rPr>
      <w:rFonts w:ascii="XO Thames" w:hAnsi="XO Thames"/>
      <w:i/>
      <w:sz w:val="24"/>
    </w:rPr>
  </w:style>
  <w:style w:type="character" w:styleId="char22" w:customStyle="1">
    <w:name w:val="Название"/>
    <w:rPr>
      <w:rFonts w:ascii="XO Thames" w:hAnsi="XO Thames"/>
      <w:b/>
      <w:caps/>
      <w:sz w:val="40"/>
    </w:rPr>
  </w:style>
  <w:style w:type="character" w:styleId="char23" w:customStyle="1">
    <w:name w:val="Заголовок 4"/>
    <w:rPr>
      <w:rFonts w:ascii="XO Thames" w:hAnsi="XO Thames"/>
      <w:b/>
      <w:sz w:val="24"/>
    </w:rPr>
  </w:style>
  <w:style w:type="character" w:styleId="char24" w:customStyle="1">
    <w:name w:val="Default"/>
    <w:rPr>
      <w:rFonts w:ascii="Times New Roman" w:hAnsi="Times New Roman"/>
      <w:color w:val="000000"/>
      <w:sz w:val="24"/>
    </w:rPr>
  </w:style>
  <w:style w:type="character" w:styleId="char25" w:customStyle="1">
    <w:name w:val="Заголовок 2"/>
    <w:rPr>
      <w:rFonts w:ascii="XO Thames" w:hAnsi="XO Thames"/>
      <w:b/>
      <w:sz w:val="28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Сетка таблицы"/>
    <w:basedOn w:val="NormalTable"/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footnotes" Target="footnotes.xml"/><Relationship Id="rId8" Type="http://schemas.openxmlformats.org/officeDocument/2006/relationships/hyperlink" Target="mailto:upp@anzhero.ru" TargetMode="External"/><Relationship Id="rId9" Type="http://schemas.openxmlformats.org/officeDocument/2006/relationships/hyperlink" Target="mailto:promotdel@anzhero.ru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Basic Roman"/>
        <a:cs typeface="Basic Roman"/>
      </a:majorFont>
      <a:minorFont>
        <a:latin typeface="Arial"/>
        <a:ea typeface="Basic Roman"/>
        <a:cs typeface="Basic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rev.1216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2025-10-14T07:58:57Z</dcterms:created>
  <dcterms:modified xsi:type="dcterms:W3CDTF">2025-10-14T08:39:30Z</dcterms:modified>
</cp:coreProperties>
</file>